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Engineered scalable data pipelines for multimodal ingestion and preprocessing using Python, while integrating distributed processing concepts similar to Spark or Ray to optimize large-scale dataset throughput.</w:t>
        <w:br/>
      </w:r>
    </w:p>
    <w:p>
      <w:r>
        <w:rPr>
          <w:rFonts w:ascii="Times New Roman" w:hAnsi="Times New Roman"/>
          <w:sz w:val="20"/>
        </w:rPr>
        <w:br/>
        <w:t>• Led dataset auditing and versioning initiatives, implementing automated checks to ensure data integrity, alignment with ethical guidelines, and consistency across training sets.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define annotation workflows, establishing standardized quality rubrics for labeling diverse multimodal data sources.</w:t>
        <w:br/>
      </w:r>
    </w:p>
    <w:p>
      <w:r>
        <w:rPr>
          <w:rFonts w:ascii="Times New Roman" w:hAnsi="Times New Roman"/>
          <w:sz w:val="20"/>
        </w:rPr>
        <w:br/>
        <w:t>• Applied advanced data processing frameworks to perform complex data ablations and experiments, assessing the impact of specific data subsets on model behavior and performance.</w:t>
        <w:br/>
      </w:r>
    </w:p>
    <w:p>
      <w:r>
        <w:rPr>
          <w:rFonts w:ascii="Times New Roman" w:hAnsi="Times New Roman"/>
          <w:sz w:val="20"/>
        </w:rPr>
        <w:br/>
        <w:t>• Coordinated with compliance and governance teams to audit datasets for privacy and safety standards, ensuring all data assets remained aligned with responsible AI practices.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