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Expertly manage executive gatekeeping and reception coverage, ensuring seamless front-office operations and prioritizing high-level communications for C-suite leadership.</w:t>
        <w:br/>
      </w:r>
    </w:p>
    <w:p>
      <w:r>
        <w:rPr>
          <w:rFonts w:ascii="Times New Roman" w:hAnsi="Times New Roman"/>
          <w:sz w:val="20"/>
        </w:rPr>
        <w:br/>
        <w:t>• Streamline complex travel and expense reporting workflows using Concur and similar platforms, ensuring 100% accuracy in expense reconciliation and policy compliance.</w:t>
        <w:br/>
      </w:r>
    </w:p>
    <w:p>
      <w:r>
        <w:rPr>
          <w:rFonts w:ascii="Times New Roman" w:hAnsi="Times New Roman"/>
          <w:sz w:val="20"/>
        </w:rPr>
        <w:br/>
        <w:t>• Exercise high-level gatekeeping by managing incoming correspondence and meeting requests for multiple executives, maintaining a 'thick-skinned' and flexible approach to shifting priorities.</w:t>
        <w:br/>
      </w:r>
    </w:p>
    <w:p>
      <w:r>
        <w:rPr>
          <w:rFonts w:ascii="Times New Roman" w:hAnsi="Times New Roman"/>
          <w:sz w:val="20"/>
        </w:rPr>
        <w:br/>
        <w:t>• Provide comprehensive office management support, including reception coverage, vendor liaison, and proactive troubleshooting to ensure a professional and efficient workspace environment.</w:t>
        <w:br/>
      </w:r>
    </w:p>
    <w:p>
      <w:r>
        <w:rPr>
          <w:rFonts w:ascii="Times New Roman" w:hAnsi="Times New Roman"/>
          <w:sz w:val="20"/>
        </w:rPr>
        <w:br/>
        <w:t>• Perform meticulous expense reconciliation and budget tracking, utilizing industry-standard software like Concur to maintain transparent financial records for multiple executives.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