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Coordinated daily technician dispatching and service scheduling for building maintenance, optimizing route efficiency and technician productivity by 15%.</w:t>
        <w:br/>
      </w:r>
    </w:p>
    <w:p>
      <w:r>
        <w:rPr>
          <w:rFonts w:ascii="Times New Roman" w:hAnsi="Times New Roman"/>
          <w:sz w:val="20"/>
        </w:rPr>
        <w:br/>
        <w:t>• Managed customer follow-up initiatives for pending work and service estimates, resulting in a 20% increase in lead conversion and closed jobs.</w:t>
        <w:br/>
      </w:r>
    </w:p>
    <w:p>
      <w:r>
        <w:rPr>
          <w:rFonts w:ascii="Times New Roman" w:hAnsi="Times New Roman"/>
          <w:sz w:val="20"/>
        </w:rPr>
        <w:br/>
        <w:t>• Utilized CRM software to track memberships and service recalls, proactively contacting clients to schedule appointments and maximize technician billable hours.</w:t>
        <w:br/>
      </w:r>
    </w:p>
    <w:p>
      <w:r>
        <w:rPr>
          <w:rFonts w:ascii="Times New Roman" w:hAnsi="Times New Roman"/>
          <w:sz w:val="20"/>
        </w:rPr>
        <w:br/>
        <w:t>• Maintained high-volume phone presence and professional communication, ensuring clients were consistently informed about appointment windows and service delays to enhance the customer experience.</w:t>
        <w:br/>
      </w:r>
    </w:p>
    <w:p>
      <w:r>
        <w:rPr>
          <w:rFonts w:ascii="Times New Roman" w:hAnsi="Times New Roman"/>
          <w:sz w:val="20"/>
        </w:rPr>
        <w:br/>
        <w:t>• Adopted a solution-focused approach to resolve scheduling conflicts and office workflow bottlenecks, ensuring seamless day-to-day operations and minimal downtime between jobs.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