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KPIs, data dictionaries, and data governance frameworks to ensure a 'single source of truth,' reducing report discrepancies and establishing clear metadata management protocols.</w:t>
        <w:br/>
      </w:r>
    </w:p>
    <w:p>
      <w:r>
        <w:rPr>
          <w:rFonts w:ascii="Times New Roman" w:hAnsi="Times New Roman"/>
          <w:sz w:val="20"/>
        </w:rPr>
        <w:br/>
        <w:t>• Mapped Critical Data Elements (CDEs) to business processes and source systems, creating comprehensive data lineage documentation to improve data transparency and regulatory audit readiness.</w:t>
        <w:br/>
      </w:r>
    </w:p>
    <w:p>
      <w:r>
        <w:rPr>
          <w:rFonts w:ascii="Times New Roman" w:hAnsi="Times New Roman"/>
          <w:sz w:val="20"/>
        </w:rPr>
        <w:br/>
        <w:t>• Designed and implemented data cataloging workflows and business glossaries to streamline data discovery, utilizing SQL and Python for automated metadata collection and validation.</w:t>
        <w:br/>
      </w:r>
    </w:p>
    <w:p>
      <w:r>
        <w:rPr>
          <w:rFonts w:ascii="Times New Roman" w:hAnsi="Times New Roman"/>
          <w:sz w:val="20"/>
        </w:rPr>
        <w:br/>
        <w:t>• Collaborated with cross-functional stakeholders to define data taxonomy standards and control/risk management procedures, ensuring data integrity across operational data stores and marts.</w:t>
        <w:br/>
      </w:r>
    </w:p>
    <w:p>
      <w:r>
        <w:rPr>
          <w:rFonts w:ascii="Times New Roman" w:hAnsi="Times New Roman"/>
          <w:sz w:val="20"/>
        </w:rPr>
        <w:br/>
        <w:t>• Integrated data quality monitoring into CI/CD pipelines, utilizing frameworks like Great Expectations to act as an automated control layer, similar to industry-standard data quality tools like Anomalo.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