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investment stakeholders and compliance teams at Haven Technologies to deliver production-ready datasets, ensuring data integrity for high-stakes equity analysis and financial reporting.</w:t>
        <w:br/>
      </w:r>
    </w:p>
    <w:p>
      <w:r>
        <w:rPr>
          <w:rFonts w:ascii="Times New Roman" w:hAnsi="Times New Roman"/>
          <w:sz w:val="20"/>
        </w:rPr>
        <w:br/>
        <w:t>• Engineered and maintained end-to-end ELT pipelines using Python and SQL (Postgres), managing the full development lifecycle from raw data ingestion to consumption by front-office investment staff.</w:t>
        <w:br/>
      </w:r>
    </w:p>
    <w:p>
      <w:r>
        <w:rPr>
          <w:rFonts w:ascii="Times New Roman" w:hAnsi="Times New Roman"/>
          <w:sz w:val="20"/>
        </w:rPr>
        <w:br/>
        <w:t>• Architected robust data quality frameworks using Great Expectations to validate financial data, ensuring 100% accuracy for investment decision-making processes.</w:t>
        <w:br/>
      </w:r>
    </w:p>
    <w:p>
      <w:r>
        <w:rPr>
          <w:rFonts w:ascii="Times New Roman" w:hAnsi="Times New Roman"/>
          <w:sz w:val="20"/>
        </w:rPr>
        <w:br/>
        <w:t>• Applied advanced SQL queries and dimensional modeling techniques to harmonize disparate financial datasets, directly supporting the modernization of front-office analytical tools.</w:t>
        <w:br/>
      </w:r>
    </w:p>
    <w:p>
      <w:r>
        <w:rPr>
          <w:rFonts w:ascii="Times New Roman" w:hAnsi="Times New Roman"/>
          <w:sz w:val="20"/>
        </w:rPr>
        <w:br/>
        <w:t>• Leveraged Python and data modeling expertise to translate complex business requirements into scalable, automated infrastructure, mirroring the agility required in fast-paced public equity environments.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