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high-throughput data processing systems using distributed frameworks (Spark-ready logic), ensuring low-latency delivery of critical performance metrics and PnL reporting.</w:t>
        <w:br/>
      </w:r>
    </w:p>
    <w:p>
      <w:r>
        <w:rPr>
          <w:rFonts w:ascii="Times New Roman" w:hAnsi="Times New Roman"/>
          <w:sz w:val="20"/>
        </w:rPr>
        <w:br/>
        <w:t>• Led the migration of legacy data workflows to modern cloud-native architectures (Databricks/EMR), establishing engineering standards for platform scalability and reliability.</w:t>
        <w:br/>
      </w:r>
    </w:p>
    <w:p>
      <w:r>
        <w:rPr>
          <w:rFonts w:ascii="Times New Roman" w:hAnsi="Times New Roman"/>
          <w:sz w:val="20"/>
        </w:rPr>
        <w:br/>
        <w:t>• Implemented comprehensive data observability frameworks, leveraging automated lineage tracking and monitoring to ensure 99.9% uptime for front-office data feeds.</w:t>
        <w:br/>
      </w:r>
    </w:p>
    <w:p>
      <w:r>
        <w:rPr>
          <w:rFonts w:ascii="Times New Roman" w:hAnsi="Times New Roman"/>
          <w:sz w:val="20"/>
        </w:rPr>
        <w:br/>
        <w:t>• Directed the end-to-end design and delivery of production-grade platforms, managing stakeholder roadmaps and coordinating technical output across cross-functional engineering teams.</w:t>
        <w:br/>
      </w:r>
    </w:p>
    <w:p>
      <w:r>
        <w:rPr>
          <w:rFonts w:ascii="Times New Roman" w:hAnsi="Times New Roman"/>
          <w:sz w:val="20"/>
        </w:rPr>
        <w:br/>
        <w:t>• Optimized data pipeline execution to achieve low-latency performance, ensuring that mission-critical risk and pricing datasets are available for immediate front-office consumption.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