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Managed documentation and ticket tracking using JIRA and Confluence to assist team alignment and on-time project delivery, contributing to the management of complex data platforms.</w:t>
        <w:br/>
      </w:r>
    </w:p>
    <w:p>
      <w:r>
        <w:rPr>
          <w:rFonts w:ascii="Times New Roman" w:hAnsi="Times New Roman"/>
          <w:sz w:val="20"/>
        </w:rPr>
        <w:br/>
        <w:t>• Developed interactive Power BI dashboards to replace manual reporting, improving KPI visibility, reducing data processing time by 40%, and accelerating executive decision-making with advanced data analysis.</w:t>
        <w:br/>
      </w:r>
    </w:p>
    <w:p>
      <w:r>
        <w:rPr>
          <w:rFonts w:ascii="Times New Roman" w:hAnsi="Times New Roman"/>
          <w:sz w:val="20"/>
        </w:rPr>
        <w:br/>
        <w:t>• Created time series models to identify high-value customer segments; targeted marketing initiatives informed by these models contributed to a 300% increase in new customer acquisition over 12 months, demonstrating advanced stakeholder influencing through data-driven recommendations.</w:t>
        <w:br/>
      </w:r>
    </w:p>
    <w:p>
      <w:r>
        <w:rPr>
          <w:rFonts w:ascii="Times New Roman" w:hAnsi="Times New Roman"/>
          <w:sz w:val="20"/>
        </w:rPr>
        <w:br/>
        <w:t>• Built an end-to-end ETL pipeline using Python and SQL to transform raw loan data into analytics-ready tables, including handling missing values, type casting, and validation checks, showcasing expertise in data consolidation and validation.</w:t>
        <w:br/>
      </w:r>
    </w:p>
    <w:p>
      <w:r>
        <w:rPr>
          <w:rFonts w:ascii="Times New Roman" w:hAnsi="Times New Roman"/>
          <w:sz w:val="20"/>
        </w:rPr>
        <w:br/>
        <w:t>• Collaborated cross-functionally with several departments including Underwriting, Product and UI/UX teams to align software features with business objectives, reducing project delivery delays by 25% through proactive project management.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