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(SQL) and performed complex financial data reconciliation to ensure data accuracy for wealth management-style testing datasets, improving data consistency by 60%.</w:t>
        <w:br/>
      </w:r>
    </w:p>
    <w:p>
      <w:r>
        <w:rPr>
          <w:rFonts w:ascii="Times New Roman" w:hAnsi="Times New Roman"/>
          <w:sz w:val="20"/>
        </w:rPr>
        <w:br/>
        <w:t>• Collaborated with product and sales stakeholders to translate business requirements into advanced analytics, mirroring the cross-functional partnership required for US Banks Analytics initiatives.</w:t>
        <w:br/>
      </w:r>
    </w:p>
    <w:p>
      <w:r>
        <w:rPr>
          <w:rFonts w:ascii="Times New Roman" w:hAnsi="Times New Roman"/>
          <w:sz w:val="20"/>
        </w:rPr>
        <w:br/>
        <w:t>• Built and maintained scalable reporting frameworks and automated data pipelines using Python and SQL to support large-scale enterprise decision-making, ensuring high data quality and integrity.</w:t>
        <w:br/>
      </w:r>
    </w:p>
    <w:p>
      <w:r>
        <w:rPr>
          <w:rFonts w:ascii="Times New Roman" w:hAnsi="Times New Roman"/>
          <w:sz w:val="20"/>
        </w:rPr>
        <w:br/>
        <w:t>• Leveraged statistical modeling and data storytelling to deliver executive-ready presentations, directly informing strategic growth initiatives for business leaders.</w:t>
        <w:br/>
      </w:r>
    </w:p>
    <w:p>
      <w:r>
        <w:rPr>
          <w:rFonts w:ascii="Times New Roman" w:hAnsi="Times New Roman"/>
          <w:sz w:val="20"/>
        </w:rPr>
        <w:br/>
        <w:t>• Managed full-cycle data governance and documentation, ensuring consistent metrics and reporting accuracy across diverse financial datasets and departmental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