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Alteryx-style visual workflow automation via Python and Zapier, designing end-to-end data preparation pipelines that reduced manual intervention by 40% and improved data quality.</w:t>
        <w:br/>
      </w:r>
    </w:p>
    <w:p>
      <w:r>
        <w:rPr>
          <w:rFonts w:ascii="Times New Roman" w:hAnsi="Times New Roman"/>
          <w:sz w:val="20"/>
        </w:rPr>
        <w:br/>
        <w:t>• Engineered a technical dashboard utilization tracking system, capturing user engagement metrics to report on tool adoption and inform management-level strategy for future software rollouts.</w:t>
        <w:br/>
      </w:r>
    </w:p>
    <w:p>
      <w:r>
        <w:rPr>
          <w:rFonts w:ascii="Times New Roman" w:hAnsi="Times New Roman"/>
          <w:sz w:val="20"/>
        </w:rPr>
        <w:br/>
        <w:t>• Spearheaded technical training sessions for stakeholders on Dataiku-adjacent analytical methodologies, ensuring team-wide proficiency in self-service reporting and data governance.</w:t>
        <w:br/>
      </w:r>
    </w:p>
    <w:p>
      <w:r>
        <w:rPr>
          <w:rFonts w:ascii="Times New Roman" w:hAnsi="Times New Roman"/>
          <w:sz w:val="20"/>
        </w:rPr>
        <w:br/>
        <w:t>• Optimized reporting environments across both Tableau and QlikView-style BI platforms, ensuring cross-platform consistency and high-level visualization standards for executive stakeholders.</w:t>
        <w:br/>
      </w:r>
    </w:p>
    <w:p>
      <w:r>
        <w:rPr>
          <w:rFonts w:ascii="Times New Roman" w:hAnsi="Times New Roman"/>
          <w:sz w:val="20"/>
        </w:rPr>
        <w:br/>
        <w:t>• Formalized a comprehensive documentation framework and audit trail for all data projects, establishing best practices for workflow transparency and enterprise-wide quality control.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