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large-scale lending data to assess default risk and borrower credit profiles, applying financial modeling techniques to evaluate portfolio performance and P&amp;L drivers.</w:t>
        <w:br/>
      </w:r>
    </w:p>
    <w:p>
      <w:r>
        <w:rPr>
          <w:rFonts w:ascii="Times New Roman" w:hAnsi="Times New Roman"/>
          <w:sz w:val="20"/>
        </w:rPr>
        <w:br/>
        <w:t>• Built and optimized SQL-based pricing models to perform scenario analysis on mortgage products, ensuring alignment with internal risk appetite and profitability targets.</w:t>
        <w:br/>
      </w:r>
    </w:p>
    <w:p>
      <w:r>
        <w:rPr>
          <w:rFonts w:ascii="Times New Roman" w:hAnsi="Times New Roman"/>
          <w:sz w:val="20"/>
        </w:rPr>
        <w:br/>
        <w:t>• Automated the generation of daily rate sheets and performance reports using Python and Excel, improving the speed and accuracy of rate setting processes.</w:t>
        <w:br/>
      </w:r>
    </w:p>
    <w:p>
      <w:r>
        <w:rPr>
          <w:rFonts w:ascii="Times New Roman" w:hAnsi="Times New Roman"/>
          <w:sz w:val="20"/>
        </w:rPr>
        <w:br/>
        <w:t>• Integrated advanced Excel automation and VBA scripting into existing data pipelines to streamline complex profitability analysis for diverse client portfolios.</w:t>
        <w:br/>
      </w:r>
    </w:p>
    <w:p>
      <w:r>
        <w:rPr>
          <w:rFonts w:ascii="Times New Roman" w:hAnsi="Times New Roman"/>
          <w:sz w:val="20"/>
        </w:rPr>
        <w:br/>
        <w:t>• Translated complex mortgage product market trends into actionable data-driven insights, supporting executive decision-making and competitive deal structuring.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