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end-to-end research initiatives, including questionnaire design, survey programming, and data analysis to provide actionable insights for marketing and sales stakeholders.</w:t>
        <w:br/>
      </w:r>
    </w:p>
    <w:p>
      <w:r>
        <w:rPr>
          <w:rFonts w:ascii="Times New Roman" w:hAnsi="Times New Roman"/>
          <w:sz w:val="20"/>
        </w:rPr>
        <w:br/>
        <w:t>• Leveraged proprietary first-party data from CRM and POS systems to build audience segments, bridging the gap between raw data and high-impact revenue strategy.</w:t>
        <w:br/>
      </w:r>
    </w:p>
    <w:p>
      <w:r>
        <w:rPr>
          <w:rFonts w:ascii="Times New Roman" w:hAnsi="Times New Roman"/>
          <w:sz w:val="20"/>
        </w:rPr>
        <w:br/>
        <w:t>• Synthesized qualitative feedback and quantitative metrics to support community management operations, ensuring data integrity for research panels and subscriber feedback loops.</w:t>
        <w:br/>
      </w:r>
    </w:p>
    <w:p>
      <w:r>
        <w:rPr>
          <w:rFonts w:ascii="Times New Roman" w:hAnsi="Times New Roman"/>
          <w:sz w:val="20"/>
        </w:rPr>
        <w:br/>
        <w:t>• Utilized BI tools including Looker and Power BI (with familiarity in modern platforms like Lightdash) to support franchise health reporting and performance tracking.</w:t>
        <w:br/>
      </w:r>
    </w:p>
    <w:p>
      <w:r>
        <w:rPr>
          <w:rFonts w:ascii="Times New Roman" w:hAnsi="Times New Roman"/>
          <w:sz w:val="20"/>
        </w:rPr>
        <w:br/>
        <w:t>• Crafted data-driven narratives for client-facing presentations, successfully translating complex statistical trends into compelling business recommendations for internal teams.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