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production-grade ELT pipelines using dbt and modern orchestration tools (transferable from Airflow to Dagster), ensuring data reliability for healthcare-adjacent business logic.</w:t>
        <w:br/>
      </w:r>
    </w:p>
    <w:p>
      <w:r>
        <w:rPr>
          <w:rFonts w:ascii="Times New Roman" w:hAnsi="Times New Roman"/>
          <w:sz w:val="20"/>
        </w:rPr>
        <w:br/>
        <w:t>• Engineered scalable data models and identity resolution logic in BigQuery to support member prioritization, directly impacting patient engagement strategy.</w:t>
        <w:br/>
      </w:r>
    </w:p>
    <w:p>
      <w:r>
        <w:rPr>
          <w:rFonts w:ascii="Times New Roman" w:hAnsi="Times New Roman"/>
          <w:sz w:val="20"/>
        </w:rPr>
        <w:br/>
        <w:t>• Applied rigorous data quality standards and privacy-conscious documentation practices (Great Expectations) to maintain high-integrity datasets.</w:t>
        <w:br/>
      </w:r>
    </w:p>
    <w:p>
      <w:r>
        <w:rPr>
          <w:rFonts w:ascii="Times New Roman" w:hAnsi="Times New Roman"/>
          <w:sz w:val="20"/>
        </w:rPr>
        <w:br/>
        <w:t>• Transitioned from general analytics to engineering-focused roles by owning the end-to-end infrastructure lifecycle, including CI/CD deployments and cloud-agnostic data modeling.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model complex business datasets, focusing on risk measurement metrics and operational KPI tracking to drive cost-reduction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