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Coordinated end-to-end administrative tasks, including vendor contract execution and approval submissions, ensuring project timelines remained on schedule for cross-functional initiatives.</w:t>
        <w:br/>
      </w:r>
    </w:p>
    <w:p>
      <w:r>
        <w:rPr>
          <w:rFonts w:ascii="Times New Roman" w:hAnsi="Times New Roman"/>
          <w:sz w:val="20"/>
        </w:rPr>
        <w:br/>
        <w:t>• Collaborated with Supply Chain Management (SCM) teams to track product availability, supporting the management of Available-to-Sell (ATS) inventory metrics to meet quarterly sales targets.</w:t>
        <w:br/>
      </w:r>
    </w:p>
    <w:p>
      <w:r>
        <w:rPr>
          <w:rFonts w:ascii="Times New Roman" w:hAnsi="Times New Roman"/>
          <w:sz w:val="20"/>
        </w:rPr>
        <w:br/>
        <w:t>• Streamlined the aging inventory monitoring process by analyzing sales performance data in Excel, providing actionable insights to optimize stock levels and minimize stagnant inventory.</w:t>
        <w:br/>
      </w:r>
    </w:p>
    <w:p>
      <w:r>
        <w:rPr>
          <w:rFonts w:ascii="Times New Roman" w:hAnsi="Times New Roman"/>
          <w:sz w:val="20"/>
        </w:rPr>
        <w:br/>
        <w:t>• Facilitated administrative operations by managing team meeting forums and consolidating data for QBR presentations, effectively communicating performance trends to senior leadership.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