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Manage and monitor departmental operating budgets, performing monthly financial tracking and expense forecasting to ensure resource allocation aligns with division goals.</w:t>
        <w:br/>
      </w:r>
    </w:p>
    <w:p>
      <w:r>
        <w:rPr>
          <w:rFonts w:ascii="Times New Roman" w:hAnsi="Times New Roman"/>
          <w:sz w:val="20"/>
        </w:rPr>
        <w:br/>
        <w:t>• Support the preparation of complex grant materials and research submissions, maintaining strict timelines and documentation standards for interdisciplinary research teams.</w:t>
        <w:br/>
      </w:r>
    </w:p>
    <w:p>
      <w:r>
        <w:rPr>
          <w:rFonts w:ascii="Times New Roman" w:hAnsi="Times New Roman"/>
          <w:sz w:val="20"/>
        </w:rPr>
        <w:br/>
        <w:t>• Coordinate the end-to-end onboarding process for faculty and trainees, including space planning, office logistics setup, and integration into administrative workflows.</w:t>
        <w:br/>
      </w:r>
    </w:p>
    <w:p>
      <w:r>
        <w:rPr>
          <w:rFonts w:ascii="Times New Roman" w:hAnsi="Times New Roman"/>
          <w:sz w:val="20"/>
        </w:rPr>
        <w:br/>
        <w:t>• Facilitate faculty engagement and retention initiatives by organizing division seminars, tracking participant feedback, and maintaining records for academic recruitment programs.</w:t>
        <w:br/>
      </w:r>
    </w:p>
    <w:p>
      <w:r>
        <w:rPr>
          <w:rFonts w:ascii="Times New Roman" w:hAnsi="Times New Roman"/>
          <w:sz w:val="20"/>
        </w:rPr>
        <w:br/>
        <w:t>• Collaborate with finance teams to perform budget reconciliations and expense reporting, improving financial accuracy for division-wide project expenditures.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