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Standardized organizational KPIs, data enrichment operations, and governance frameworks to ensure cross-functional alignment and a consistent 'single source of truth' across business units.</w:t>
        <w:br/>
      </w:r>
    </w:p>
    <w:p>
      <w:r>
        <w:rPr>
          <w:rFonts w:ascii="Times New Roman" w:hAnsi="Times New Roman"/>
          <w:sz w:val="20"/>
        </w:rPr>
        <w:br/>
        <w:t>• Designed and documented comprehensive data security requirements and exception handling processes to protect sensitive customer information while maintaining data integrity.</w:t>
        <w:br/>
      </w:r>
    </w:p>
    <w:p>
      <w:r>
        <w:rPr>
          <w:rFonts w:ascii="Times New Roman" w:hAnsi="Times New Roman"/>
          <w:sz w:val="20"/>
        </w:rPr>
        <w:br/>
        <w:t>• Utilized advanced modeling techniques to map complex relational data into logical and physical data models, facilitating reliable analysis for stakeholder decision-making.</w:t>
        <w:br/>
      </w:r>
    </w:p>
    <w:p>
      <w:r>
        <w:rPr>
          <w:rFonts w:ascii="Times New Roman" w:hAnsi="Times New Roman"/>
          <w:sz w:val="20"/>
        </w:rPr>
        <w:br/>
        <w:t>• Developed robust data standardization procedures and validation rules to ensure high-quality data ingestion across multi-system environments.</w:t>
        <w:br/>
      </w:r>
    </w:p>
    <w:p>
      <w:r>
        <w:rPr>
          <w:rFonts w:ascii="Times New Roman" w:hAnsi="Times New Roman"/>
          <w:sz w:val="20"/>
        </w:rPr>
        <w:br/>
        <w:t>• Led data cleansing and consolidation efforts for large datasets, implementing industry-standard validation processes to eliminate recurring data quality issues.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