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Supervised and mentored a team of 2 administrative staff, conducting performance evaluations and providing ongoing coaching to ensure high-quality front-office operational support.</w:t>
        <w:br/>
      </w:r>
    </w:p>
    <w:p>
      <w:r>
        <w:rPr>
          <w:rFonts w:ascii="Times New Roman" w:hAnsi="Times New Roman"/>
          <w:sz w:val="20"/>
        </w:rPr>
        <w:br/>
        <w:t>• Managed departmental billing reconciliation and invoice processing, ensuring strict compliance with internal protocols and identifying discrepancies in accounts receivable to improve financial accuracy.</w:t>
        <w:br/>
      </w:r>
    </w:p>
    <w:p>
      <w:r>
        <w:rPr>
          <w:rFonts w:ascii="Times New Roman" w:hAnsi="Times New Roman"/>
          <w:sz w:val="20"/>
        </w:rPr>
        <w:br/>
        <w:t>• Streamlined patient registration and intake workflows, ensuring accurate entry of insurance information and performing thorough insurance verification to minimize claim denials.</w:t>
        <w:br/>
      </w:r>
    </w:p>
    <w:p>
      <w:r>
        <w:rPr>
          <w:rFonts w:ascii="Times New Roman" w:hAnsi="Times New Roman"/>
          <w:sz w:val="20"/>
        </w:rPr>
        <w:br/>
        <w:t>• Maintained strict adherence to HIPAA and organizational privacy policies while managing sensitive records, ensuring data integrity and regulatory compliance across all administrative functions.</w:t>
        <w:br/>
      </w:r>
    </w:p>
    <w:p>
      <w:r>
        <w:rPr>
          <w:rFonts w:ascii="Times New Roman" w:hAnsi="Times New Roman"/>
          <w:sz w:val="20"/>
        </w:rPr>
        <w:br/>
        <w:t>• Collaborated on staff onboarding and cross-training initiatives, developing standardized training materials to ensure operational continuity and high standards of service delivery.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