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in an Agile environment to build, document, and maintain healthcare-adjacent data workflows, leveraging Python and SQL to clean and reconcile complex datasets, ensuring high-quality metrics for clinical and operational decision-making.</w:t>
        <w:br/>
      </w:r>
    </w:p>
    <w:p>
      <w:r>
        <w:rPr>
          <w:rFonts w:ascii="Times New Roman" w:hAnsi="Times New Roman"/>
          <w:sz w:val="20"/>
        </w:rPr>
        <w:br/>
        <w:t>• Mentored junior team members on best practices for data documentation and SQL query optimization, fostering a culture of technical rigor and ensuring redundancy in critical reporting workflows.</w:t>
        <w:br/>
      </w:r>
    </w:p>
    <w:p>
      <w:r>
        <w:rPr>
          <w:rFonts w:ascii="Times New Roman" w:hAnsi="Times New Roman"/>
          <w:sz w:val="20"/>
        </w:rPr>
        <w:br/>
        <w:t>• Led technical initiatives to integrate clinical and operational data from disparate internal sources, applying advanced statistical methods to identify trends in patient throughput and resource allocation.</w:t>
        <w:br/>
      </w:r>
    </w:p>
    <w:p>
      <w:r>
        <w:rPr>
          <w:rFonts w:ascii="Times New Roman" w:hAnsi="Times New Roman"/>
          <w:sz w:val="20"/>
        </w:rPr>
        <w:br/>
        <w:t>• Developed and maintained comprehensive project documentation, ensuring all analytic methods, key decision points, and data caveats were clearly articulated to facilitate replication and transparency for stakeholder leadership.</w:t>
        <w:br/>
      </w:r>
    </w:p>
    <w:p>
      <w:r>
        <w:rPr>
          <w:rFonts w:ascii="Times New Roman" w:hAnsi="Times New Roman"/>
          <w:sz w:val="20"/>
        </w:rPr>
        <w:br/>
        <w:t>• Optimized data quality by creating robust automated validation checks and feeding actionable insights back to data stewards, directly enhancing the reliability of reporting used in high-stakes operational planning.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