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Owned the end-to-end A/B testing and experimentation cycle for marketing initiatives, utilizing holdout groups and causal analysis to measure campaign performance and inform optimization strategies.</w:t>
        <w:br/>
      </w:r>
    </w:p>
    <w:p>
      <w:r>
        <w:rPr>
          <w:rFonts w:ascii="Times New Roman" w:hAnsi="Times New Roman"/>
          <w:sz w:val="20"/>
        </w:rPr>
        <w:br/>
        <w:t>• Developed and deployed propensity models to identify high-value customer segments, directly influencing lifecycle analytics and personalized marketing campaign targeting.</w:t>
        <w:br/>
      </w:r>
    </w:p>
    <w:p>
      <w:r>
        <w:rPr>
          <w:rFonts w:ascii="Times New Roman" w:hAnsi="Times New Roman"/>
          <w:sz w:val="20"/>
        </w:rPr>
        <w:br/>
        <w:t>• Collaborated with engineering teams to define identity-based customer data schemas, ensuring data integrity for large-scale marketing analytics and loyalty program tracking.</w:t>
        <w:br/>
      </w:r>
    </w:p>
    <w:p>
      <w:r>
        <w:rPr>
          <w:rFonts w:ascii="Times New Roman" w:hAnsi="Times New Roman"/>
          <w:sz w:val="20"/>
        </w:rPr>
        <w:br/>
        <w:t>• Integrated AI-native coding agents into Python-based workflows to automate complex data extraction and analysis, significantly reducing time-to-insight for cross-functional stakeholders.</w:t>
        <w:br/>
      </w:r>
    </w:p>
    <w:p>
      <w:r>
        <w:rPr>
          <w:rFonts w:ascii="Times New Roman" w:hAnsi="Times New Roman"/>
          <w:sz w:val="20"/>
        </w:rPr>
        <w:br/>
        <w:t>• Designed and monitored loyalty program health metrics, translating raw transactional data into actionable insights to drive customer retention and membership growth.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