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Google Analytics data into custom reporting workflows, ensuring accurate tracking of website performance metrics and campaign efficacy.</w:t>
        <w:br/>
      </w:r>
    </w:p>
    <w:p>
      <w:r>
        <w:rPr>
          <w:rFonts w:ascii="Times New Roman" w:hAnsi="Times New Roman"/>
          <w:sz w:val="20"/>
        </w:rPr>
        <w:br/>
        <w:t>• Applied statistical methodologies, including hypothesis testing and confidence intervals, to validate marketing experiment outcomes and improve decision-making accuracy.</w:t>
        <w:br/>
      </w:r>
    </w:p>
    <w:p>
      <w:r>
        <w:rPr>
          <w:rFonts w:ascii="Times New Roman" w:hAnsi="Times New Roman"/>
          <w:sz w:val="20"/>
        </w:rPr>
        <w:br/>
        <w:t>• Utilized Python and specialized libraries for data manipulation and statistical analysis, including performing chi-squared tests to evaluate demographic segments for crime prevention strategies.</w:t>
        <w:br/>
      </w:r>
    </w:p>
    <w:p>
      <w:r>
        <w:rPr>
          <w:rFonts w:ascii="Times New Roman" w:hAnsi="Times New Roman"/>
          <w:sz w:val="20"/>
        </w:rPr>
        <w:br/>
        <w:t>• Automated data collection from external sources using Python-based scripts to bypass manual entry, streamlining the integration of third-party datasets into internal dashboards.</w:t>
        <w:br/>
      </w:r>
    </w:p>
    <w:p>
      <w:r>
        <w:rPr>
          <w:rFonts w:ascii="Times New Roman" w:hAnsi="Times New Roman"/>
          <w:sz w:val="20"/>
        </w:rPr>
        <w:br/>
        <w:t>• Maintained and updated web tracking configurations, including implementing event tags via Google Tag Manager to support granular marketing attribution and user behavior analysis.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