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relational database queries using stored procedures and complex joins within a SQL Server environment, ensuring high-performance data retrieval for insurance testing and regulatory reporting.</w:t>
        <w:br/>
      </w:r>
    </w:p>
    <w:p>
      <w:r>
        <w:rPr>
          <w:rFonts w:ascii="Times New Roman" w:hAnsi="Times New Roman"/>
          <w:sz w:val="20"/>
        </w:rPr>
        <w:br/>
        <w:t>• Architected robust data warehousing structures and ETL pipelines to support complex financial datasets, ensuring end-to-end data integrity and alignment with enterprise architectural standards.</w:t>
        <w:br/>
      </w:r>
    </w:p>
    <w:p>
      <w:r>
        <w:rPr>
          <w:rFonts w:ascii="Times New Roman" w:hAnsi="Times New Roman"/>
          <w:sz w:val="20"/>
        </w:rPr>
        <w:br/>
        <w:t>• Managed project lifecycles within an Agile environment, utilizing JIRA and Confluence to implement CI/CD principles and automated monitoring systems to ensure continuous service availability.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in the insurance/fintech sector to translate complex business needs into scalable technical solutions, demonstrating a deep understanding of operations in a regulated industry.</w:t>
        <w:br/>
      </w:r>
    </w:p>
    <w:p>
      <w:r>
        <w:rPr>
          <w:rFonts w:ascii="Times New Roman" w:hAnsi="Times New Roman"/>
          <w:sz w:val="20"/>
        </w:rPr>
        <w:br/>
        <w:t>• Designed and maintained highly available database environments, utilizing expertise in RDBMS and cloud-based systems to provide leadership on technical infrastructure and data-driven business cases.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