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loan portfolio performance by performing advanced ETL in Power Query and writing complex DAX measures in Power BI to track delinquency rates and borrower risk.</w:t>
        <w:br/>
      </w:r>
    </w:p>
    <w:p>
      <w:r>
        <w:rPr>
          <w:rFonts w:ascii="Times New Roman" w:hAnsi="Times New Roman"/>
          <w:sz w:val="20"/>
        </w:rPr>
        <w:br/>
        <w:t>• Collaborated with product teams to conduct market research and competitive analysis, identifying high-value consumer deposit trends that informed product strategy.</w:t>
        <w:br/>
      </w:r>
    </w:p>
    <w:p>
      <w:r>
        <w:rPr>
          <w:rFonts w:ascii="Times New Roman" w:hAnsi="Times New Roman"/>
          <w:sz w:val="20"/>
        </w:rPr>
        <w:br/>
        <w:t>• Managed member research initiatives to pinpoint pain points in the lending lifecycle, resulting in data-backed recommendations that improved member satisfaction.</w:t>
        <w:br/>
      </w:r>
    </w:p>
    <w:p>
      <w:r>
        <w:rPr>
          <w:rFonts w:ascii="Times New Roman" w:hAnsi="Times New Roman"/>
          <w:sz w:val="20"/>
        </w:rPr>
        <w:br/>
        <w:t>• Partnered with marketing to evaluate campaign performance, utilizing Python and SQL to analyze consumer deposit data and optimize ROI on acquisition initiatives.</w:t>
        <w:br/>
      </w:r>
    </w:p>
    <w:p>
      <w:r>
        <w:rPr>
          <w:rFonts w:ascii="Times New Roman" w:hAnsi="Times New Roman"/>
          <w:sz w:val="20"/>
        </w:rPr>
        <w:br/>
        <w:t>• Leveraged banking industry knowledge to reconcile insurance testing data, ensuring data integrity and compliance for financial product reporting.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