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managed automated data workflows using Python and scheduling tools, creating scalable pipeline orchestration to ensure data consistency across multiple environments.</w:t>
        <w:br/>
      </w:r>
    </w:p>
    <w:p>
      <w:r>
        <w:rPr>
          <w:rFonts w:ascii="Times New Roman" w:hAnsi="Times New Roman"/>
          <w:sz w:val="20"/>
        </w:rPr>
        <w:br/>
        <w:t>• Integrated diverse data sources into a centralized repository, applying best practices for distributed computing frameworks and big data processing concepts similar to Spark and Hadoop.</w:t>
        <w:br/>
      </w:r>
    </w:p>
    <w:p>
      <w:r>
        <w:rPr>
          <w:rFonts w:ascii="Times New Roman" w:hAnsi="Times New Roman"/>
          <w:sz w:val="20"/>
        </w:rPr>
        <w:br/>
        <w:t>• Engineered robust data pipelines within cloud environments, utilizing cloud-native data factory patterns for ingestion and transformation tasks.</w:t>
        <w:br/>
      </w:r>
    </w:p>
    <w:p>
      <w:r>
        <w:rPr>
          <w:rFonts w:ascii="Times New Roman" w:hAnsi="Times New Roman"/>
          <w:sz w:val="20"/>
        </w:rPr>
        <w:br/>
        <w:t>• Implemented CI/CD best practices and version control workflows to automate testing and deployment of data models, ensuring high availability and reliability for enterprise-scale analytics.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