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Integrated data from APIs and PostgreSQL to build unified schemas, mimicking modern ELT/ETL processes similar to Fivetran workflows to ensure data pipeline reliability.</w:t>
        <w:br/>
      </w:r>
    </w:p>
    <w:p>
      <w:r>
        <w:rPr>
          <w:rFonts w:ascii="Times New Roman" w:hAnsi="Times New Roman"/>
          <w:sz w:val="20"/>
        </w:rPr>
        <w:br/>
        <w:t>• Designed and executed A/B testing and marketing experimentation frameworks to measure campaign performance, directly optimizing customer segmentation and acquisition strategies.</w:t>
        <w:br/>
      </w:r>
    </w:p>
    <w:p>
      <w:r>
        <w:rPr>
          <w:rFonts w:ascii="Times New Roman" w:hAnsi="Times New Roman"/>
          <w:sz w:val="20"/>
        </w:rPr>
        <w:br/>
        <w:t>• Managed end-to-end data tracking for multi-channel marketing campaigns, ensuring data quality across fragmented third-party social platforms and internal CRM databases.</w:t>
        <w:br/>
      </w:r>
    </w:p>
    <w:p>
      <w:r>
        <w:rPr>
          <w:rFonts w:ascii="Times New Roman" w:hAnsi="Times New Roman"/>
          <w:sz w:val="20"/>
        </w:rPr>
        <w:br/>
        <w:t>• Led data standardization projects to map disparate marketing data sources into clean, actionable formats, significantly improving the accuracy of cross-departmental analytics reports.</w:t>
        <w:br/>
      </w:r>
    </w:p>
    <w:p>
      <w:r>
        <w:rPr>
          <w:rFonts w:ascii="Times New Roman" w:hAnsi="Times New Roman"/>
          <w:sz w:val="20"/>
        </w:rPr>
        <w:br/>
        <w:t>• Partnered cross-functionally with product and marketing teams to translate complex fan engagement data into intuitive dashboard insights for stakeholders with varying levels of data fluency.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