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models and analytical frameworks to evaluate performance trends, leveraging Python and SQL to identify key variables impacting outcome efficiency.</w:t>
        <w:br/>
      </w:r>
    </w:p>
    <w:p>
      <w:r>
        <w:rPr>
          <w:rFonts w:ascii="Times New Roman" w:hAnsi="Times New Roman"/>
          <w:sz w:val="20"/>
        </w:rPr>
        <w:br/>
        <w:t>• Engineered scalable data pipelines and integrated Snowflake environments to curate health-related data, supporting the development of automated insights and agentic workflows.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communicate complex data findings, ensuring technical insights are translated into actionable strategies for department-wide decision-making.</w:t>
        <w:br/>
      </w:r>
    </w:p>
    <w:p>
      <w:r>
        <w:rPr>
          <w:rFonts w:ascii="Times New Roman" w:hAnsi="Times New Roman"/>
          <w:sz w:val="20"/>
        </w:rPr>
        <w:br/>
        <w:t>• Applied statistical rigor and sports industry interest to contextualize performance metrics, creating sophisticated models to support objective-driven player health initiatives.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