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product and underwriting teams in a Solutions Engineering capacity to integrate API-based insurance data, ensuring clean, reliable data structures for enterprise-level deployments.</w:t>
        <w:br/>
      </w:r>
    </w:p>
    <w:p>
      <w:r>
        <w:rPr>
          <w:rFonts w:ascii="Times New Roman" w:hAnsi="Times New Roman"/>
          <w:sz w:val="20"/>
        </w:rPr>
        <w:br/>
        <w:t>• Engineered and maintained robust ETL pipelines for high-stakes lending data, serving as the technical lead in implementing complex loan portfolio risk analysis models.</w:t>
        <w:br/>
      </w:r>
    </w:p>
    <w:p>
      <w:r>
        <w:rPr>
          <w:rFonts w:ascii="Times New Roman" w:hAnsi="Times New Roman"/>
          <w:sz w:val="20"/>
        </w:rPr>
        <w:br/>
        <w:t>• Acted as a Forward Deployed technical liaison, translating complex banking compliance and loan-to-value requirements into actionable automated data workflows for key stakeholders.</w:t>
        <w:br/>
      </w:r>
    </w:p>
    <w:p>
      <w:r>
        <w:rPr>
          <w:rFonts w:ascii="Times New Roman" w:hAnsi="Times New Roman"/>
          <w:sz w:val="20"/>
        </w:rPr>
        <w:br/>
        <w:t>• Partnered with Customer Success Managers to drive platform adoption by translating business requirements into technical integration specifications, effectively reducing client project delivery delays by 25%.</w:t>
        <w:br/>
      </w:r>
    </w:p>
    <w:p>
      <w:r>
        <w:rPr>
          <w:rFonts w:ascii="Times New Roman" w:hAnsi="Times New Roman"/>
          <w:sz w:val="20"/>
        </w:rPr>
        <w:br/>
        <w:t>• Developed automated monitoring scripts to flag high-risk loan-to-value ratios and delinquency events, directly contributing to institutional loss mitigation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