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customer segmentation models using Machine Learning techniques (Classification and Clustering) to identify high-value audiences, driving a 300% revenue increase in targeted segments.</w:t>
        <w:br/>
      </w:r>
    </w:p>
    <w:p>
      <w:r>
        <w:rPr>
          <w:rFonts w:ascii="Times New Roman" w:hAnsi="Times New Roman"/>
          <w:sz w:val="20"/>
        </w:rPr>
        <w:br/>
        <w:t>• Built and maintained automated ETL pipelines to integrate disparate data sources, supporting Marketing Mix Modeling (MMM) initiatives and measuring Media ROI across digital campaigns.</w:t>
        <w:br/>
      </w:r>
    </w:p>
    <w:p>
      <w:r>
        <w:rPr>
          <w:rFonts w:ascii="Times New Roman" w:hAnsi="Times New Roman"/>
          <w:sz w:val="20"/>
        </w:rPr>
        <w:br/>
        <w:t>• Engineered Python scripts for exploratory data analysis, utilizing Dimensionality Reduction and Regression analysis to identify key drivers of customer Lifetime Value (LTV).</w:t>
        <w:br/>
      </w:r>
    </w:p>
    <w:p>
      <w:r>
        <w:rPr>
          <w:rFonts w:ascii="Times New Roman" w:hAnsi="Times New Roman"/>
          <w:sz w:val="20"/>
        </w:rPr>
        <w:br/>
        <w:t>• Collaborated with external vendors and cross-functional teams to integrate third-party advertising data into central warehouses, enabling robust multi-touch attribution (MTA) reporting.</w:t>
        <w:br/>
      </w:r>
    </w:p>
    <w:p>
      <w:r>
        <w:rPr>
          <w:rFonts w:ascii="Times New Roman" w:hAnsi="Times New Roman"/>
          <w:sz w:val="20"/>
        </w:rPr>
        <w:br/>
        <w:t>• Applied advanced statistical techniques to analyze marketing performance, triangulating data across disparate systems to optimize media spend and improve conversion attribution.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