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workflows for investment tracking and reporting, gaining proficiency in financial reporting cycles and data aggregation similar to Private Equity and Private Credit lifecycle management.</w:t>
        <w:br/>
      </w:r>
    </w:p>
    <w:p>
      <w:r>
        <w:rPr>
          <w:rFonts w:ascii="Times New Roman" w:hAnsi="Times New Roman"/>
          <w:sz w:val="20"/>
        </w:rPr>
        <w:br/>
        <w:t>• Engineered Python and SQL-based ETL pipelines to reconcile complex datasets, incorporating data governance rules to ensure the auditability and accuracy required for institutional-grade investor reporting.</w:t>
        <w:br/>
      </w:r>
    </w:p>
    <w:p>
      <w:r>
        <w:rPr>
          <w:rFonts w:ascii="Times New Roman" w:hAnsi="Times New Roman"/>
          <w:sz w:val="20"/>
        </w:rPr>
        <w:br/>
        <w:t>• Leveraged Advanced Excel (including Power Query and VBA) to build financial models and automate the calculation of performance KPIs for client-facing analysis and portfolio monitoring.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translate complex portfolio metrics into actionable insights, mirroring the requirements for supporting fundraising and marketing initiatives in alternative investment environments.</w:t>
        <w:br/>
      </w:r>
    </w:p>
    <w:p>
      <w:r>
        <w:rPr>
          <w:rFonts w:ascii="Times New Roman" w:hAnsi="Times New Roman"/>
          <w:sz w:val="20"/>
        </w:rPr>
        <w:br/>
        <w:t>• Applied data validation techniques to large-scale datasets, ensuring high-quality data ingestion consistent with the standards expected for managing alternative investment strategies like secondaries and co-investments.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