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maintained complex BI dashboards using Power BI and Oracle BI concepts, providing technical training and documentation to cross-functional teams to foster a data-driven culture.</w:t>
        <w:br/>
      </w:r>
    </w:p>
    <w:p>
      <w:r>
        <w:rPr>
          <w:rFonts w:ascii="Times New Roman" w:hAnsi="Times New Roman"/>
          <w:sz w:val="20"/>
        </w:rPr>
        <w:br/>
        <w:t>• Led stakeholder collaboration initiatives to define business requirements, effectively translating policy development needs into actionable, performance-based indicators and forecasting models.</w:t>
        <w:br/>
      </w:r>
    </w:p>
    <w:p>
      <w:r>
        <w:rPr>
          <w:rFonts w:ascii="Times New Roman" w:hAnsi="Times New Roman"/>
          <w:sz w:val="20"/>
        </w:rPr>
        <w:br/>
        <w:t>• Managed database workflows using SQL Developer and Microsoft Access, ensuring data integrity while supporting administrative reporting and system-wide data governance.</w:t>
        <w:br/>
      </w:r>
    </w:p>
    <w:p>
      <w:r>
        <w:rPr>
          <w:rFonts w:ascii="Times New Roman" w:hAnsi="Times New Roman"/>
          <w:sz w:val="20"/>
        </w:rPr>
        <w:br/>
        <w:t>• Streamlined operational outcomes for community-focused services by analyzing demographic and geographic datasets, directly supporting the mission of enhancing housing preservation through data-backed strategies.</w:t>
        <w:br/>
      </w:r>
    </w:p>
    <w:p>
      <w:r>
        <w:rPr>
          <w:rFonts w:ascii="Times New Roman" w:hAnsi="Times New Roman"/>
          <w:sz w:val="20"/>
        </w:rPr>
        <w:br/>
        <w:t>• Served as a subject matter expert on analytics tools, coaching agency staff on advanced reporting and dashboard functionalities to improve organizational capacity and user self-sufficiency.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