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Spearheaded data collection and compliance auditing initiatives by designing robust data governance frameworks to track operational metrics and identify non-compliance trends.</w:t>
        <w:br/>
      </w:r>
    </w:p>
    <w:p>
      <w:r>
        <w:rPr>
          <w:rFonts w:ascii="Times New Roman" w:hAnsi="Times New Roman"/>
          <w:sz w:val="20"/>
        </w:rPr>
        <w:br/>
        <w:t>• Managed cross-functional personnel processes, including the training and daily supervision of staff, ensuring consistent service delivery and operational oversight across multiple sites.</w:t>
        <w:br/>
      </w:r>
    </w:p>
    <w:p>
      <w:r>
        <w:rPr>
          <w:rFonts w:ascii="Times New Roman" w:hAnsi="Times New Roman"/>
          <w:sz w:val="20"/>
        </w:rPr>
        <w:br/>
        <w:t>• Drafted and managed departmental budget and payroll summaries, utilizing advanced Excel models to track expenditures and ensure fiscal accuracy for management review.</w:t>
        <w:br/>
      </w:r>
    </w:p>
    <w:p>
      <w:r>
        <w:rPr>
          <w:rFonts w:ascii="Times New Roman" w:hAnsi="Times New Roman"/>
          <w:sz w:val="20"/>
        </w:rPr>
        <w:br/>
        <w:t>• Collaborated with stakeholders to perform internal utilization audits, translating complex performance data into actionable outreach strategies and procedural manuals for public-facing service teams.</w:t>
        <w:br/>
      </w:r>
    </w:p>
    <w:p>
      <w:r>
        <w:rPr>
          <w:rFonts w:ascii="Times New Roman" w:hAnsi="Times New Roman"/>
          <w:sz w:val="20"/>
        </w:rPr>
        <w:br/>
        <w:t>• Led public-facing outreach initiatives and internal training workshops, effectively communicating analytical findings to large, diverse groups to foster understanding of operational policies.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