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Analyzed the results of various A/B testing initiatives using statistical methods (e.g., t-tests, Chi-squared) to optimize marketing campaigns and product features, resulting in a 15% increase in conversion rates.</w:t>
        <w:br/>
      </w:r>
    </w:p>
    <w:p>
      <w:r>
        <w:rPr>
          <w:rFonts w:ascii="Times New Roman" w:hAnsi="Times New Roman"/>
          <w:sz w:val="20"/>
        </w:rPr>
        <w:br/>
        <w:t>• Led retention-focused data initiatives by identifying churn patterns through time-series modeling and cohort analysis, directly informing strategies that improved long-term customer engagement.</w:t>
        <w:br/>
      </w:r>
    </w:p>
    <w:p>
      <w:r>
        <w:rPr>
          <w:rFonts w:ascii="Times New Roman" w:hAnsi="Times New Roman"/>
          <w:sz w:val="20"/>
        </w:rPr>
        <w:br/>
        <w:t>• Conducted rigorous product analytics deep-dives into user behavior data to uncover friction points, providing actionable recommendations that informed product roadmaps and feature prioritization.</w:t>
        <w:br/>
      </w:r>
    </w:p>
    <w:p>
      <w:r>
        <w:rPr>
          <w:rFonts w:ascii="Times New Roman" w:hAnsi="Times New Roman"/>
          <w:sz w:val="20"/>
        </w:rPr>
        <w:br/>
        <w:t>• Applied advanced statistical methods to measure the incremental impact of multi-channel marketing campaigns, ensuring data-driven allocation of resources toward the highest-performing segments.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