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ELT pipelines using Airflow, incorporating Spark-based data processing patterns for high-volume datasets to ensure scalable and reliable data ingestion.</w:t>
        <w:br/>
      </w:r>
    </w:p>
    <w:p>
      <w:r>
        <w:rPr>
          <w:rFonts w:ascii="Times New Roman" w:hAnsi="Times New Roman"/>
          <w:sz w:val="20"/>
        </w:rPr>
        <w:br/>
        <w:t>• Engineered data pipelines with a focus on data governance, implementing strict documentation, schema validation, and lineage tracking to maintain data integrity across all warehousing layers.</w:t>
        <w:br/>
      </w:r>
    </w:p>
    <w:p>
      <w:r>
        <w:rPr>
          <w:rFonts w:ascii="Times New Roman" w:hAnsi="Times New Roman"/>
          <w:sz w:val="20"/>
        </w:rPr>
        <w:br/>
        <w:t>• Integrated Kafka-style message queuing concepts into data architecture to support real-time data ingestion workflows and improve downstream analytics responsiveness.</w:t>
        <w:br/>
      </w:r>
    </w:p>
    <w:p>
      <w:r>
        <w:rPr>
          <w:rFonts w:ascii="Times New Roman" w:hAnsi="Times New Roman"/>
          <w:sz w:val="20"/>
        </w:rPr>
        <w:br/>
        <w:t>• Applied data engineering best practices to complex manufacturing-style operational datasets, optimizing for latency and storage efficiency to support rapid business decision-making.</w:t>
        <w:br/>
      </w:r>
    </w:p>
    <w:p>
      <w:r>
        <w:rPr>
          <w:rFonts w:ascii="Times New Roman" w:hAnsi="Times New Roman"/>
          <w:sz w:val="20"/>
        </w:rPr>
        <w:br/>
        <w:t>• Leveraged foundational knowledge of distributed computing (Hadoop/Spark ecosystem) to optimize BigQuery and Postgres performance for massive analytical workloads.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