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Managed front-desk operations by welcoming walk-in clients and providing high-touch, hospitality-focused service to ensure a professional and compassionate experience for all visitors.</w:t>
        <w:br/>
      </w:r>
    </w:p>
    <w:p>
      <w:r>
        <w:rPr>
          <w:rFonts w:ascii="Times New Roman" w:hAnsi="Times New Roman"/>
          <w:sz w:val="20"/>
        </w:rPr>
        <w:br/>
        <w:t>• Maintained rigorous compliance standards by managing complex documentation, including the processing of detailed permits and municipal paperwork with 99% accuracy.</w:t>
        <w:br/>
      </w:r>
    </w:p>
    <w:p>
      <w:r>
        <w:rPr>
          <w:rFonts w:ascii="Times New Roman" w:hAnsi="Times New Roman"/>
          <w:sz w:val="20"/>
        </w:rPr>
        <w:br/>
        <w:t>• Oversaw end-to-end customer records tracking and database management, ensuring all client information, order history, and status updates were current and easily accessible.</w:t>
        <w:br/>
      </w:r>
    </w:p>
    <w:p>
      <w:r>
        <w:rPr>
          <w:rFonts w:ascii="Times New Roman" w:hAnsi="Times New Roman"/>
          <w:sz w:val="20"/>
        </w:rPr>
        <w:br/>
        <w:t>• Leveraged bilingual proficiency in Spanish to facilitate clear communication and build rapport with diverse client populations, improving service accessibility.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