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Spearheaded data migration initiatives by facilitating seamless data transfers across multiple cloud and legacy platforms, ensuring 100% data integrity during the transition.</w:t>
        <w:br/>
      </w:r>
    </w:p>
    <w:p>
      <w:r>
        <w:rPr>
          <w:rFonts w:ascii="Times New Roman" w:hAnsi="Times New Roman"/>
          <w:sz w:val="20"/>
        </w:rPr>
        <w:br/>
        <w:t>• Maintained rigorous data quality standards by identifying and purging duplicates and outdated information, significantly improving the accuracy of internal system records.</w:t>
        <w:br/>
      </w:r>
    </w:p>
    <w:p>
      <w:r>
        <w:rPr>
          <w:rFonts w:ascii="Times New Roman" w:hAnsi="Times New Roman"/>
          <w:sz w:val="20"/>
        </w:rPr>
        <w:br/>
        <w:t>• Collaborated with cross-functional partners in Finance, Operations, and Compliance to ensure data initiatives remained aligned with strict regulatory standards and business requirements.</w:t>
        <w:br/>
      </w:r>
    </w:p>
    <w:p>
      <w:r>
        <w:rPr>
          <w:rFonts w:ascii="Times New Roman" w:hAnsi="Times New Roman"/>
          <w:sz w:val="20"/>
        </w:rPr>
        <w:br/>
        <w:t>• Executed comprehensive data enrichment and validation processes, leveraging SQL and Python to reconcile records and guarantee data consistency across the organization.</w:t>
        <w:br/>
      </w:r>
    </w:p>
    <w:p>
      <w:r>
        <w:rPr>
          <w:rFonts w:ascii="Times New Roman" w:hAnsi="Times New Roman"/>
          <w:sz w:val="20"/>
        </w:rPr>
        <w:br/>
        <w:t>• Authored detailed documentation and standardized SOPs for data maintenance, enabling stakeholders to easily access and utilize clean, high-quality business information.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