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using performance tuning techniques (indexing, query execution analysis) to clean and reconcile insurance testing data, improving data accuracy by 30%.</w:t>
        <w:br/>
      </w:r>
    </w:p>
    <w:p>
      <w:r>
        <w:rPr>
          <w:rFonts w:ascii="Times New Roman" w:hAnsi="Times New Roman"/>
          <w:sz w:val="20"/>
        </w:rPr>
        <w:br/>
        <w:t>• Identified key performance indicators (KPIs) and defined methodologies for quality metrics and outcomes evaluation, ensuring analytical reports aligned with departmental strategic goals.</w:t>
        <w:br/>
      </w:r>
    </w:p>
    <w:p>
      <w:r>
        <w:rPr>
          <w:rFonts w:ascii="Times New Roman" w:hAnsi="Times New Roman"/>
          <w:sz w:val="20"/>
        </w:rPr>
        <w:br/>
        <w:t>• Designed and implemented robust data warehouse architectures and star-schema modeling patterns to support scalable reporting and complex cross-departmental analytics.</w:t>
        <w:br/>
      </w:r>
    </w:p>
    <w:p>
      <w:r>
        <w:rPr>
          <w:rFonts w:ascii="Times New Roman" w:hAnsi="Times New Roman"/>
          <w:sz w:val="20"/>
        </w:rPr>
        <w:br/>
        <w:t>• Established formal data validation frameworks to identify and remediate data quality issues such as duplicates and missing values, ensuring reliability in downstream reporting.</w:t>
        <w:br/>
      </w:r>
    </w:p>
    <w:p>
      <w:r>
        <w:rPr>
          <w:rFonts w:ascii="Times New Roman" w:hAnsi="Times New Roman"/>
          <w:sz w:val="20"/>
        </w:rPr>
        <w:br/>
        <w:t>• Developed comprehensive technical and functional specifications to document business requirements and map workflows between stakeholder needs and backend data storage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