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Coordinated high-stakes meetings, including professional minute-taking and transcription for executive debriefs, ensuring accurate documentation of key decisions and action items.</w:t>
        <w:br/>
      </w:r>
    </w:p>
    <w:p>
      <w:r>
        <w:rPr>
          <w:rFonts w:ascii="Times New Roman" w:hAnsi="Times New Roman"/>
          <w:sz w:val="20"/>
        </w:rPr>
        <w:br/>
        <w:t>• Managed office supply inventory and department procurement, utilizing strict budget oversight to order necessary materials while streamlining internal resource allocation.</w:t>
        <w:br/>
      </w:r>
    </w:p>
    <w:p>
      <w:r>
        <w:rPr>
          <w:rFonts w:ascii="Times New Roman" w:hAnsi="Times New Roman"/>
          <w:sz w:val="20"/>
        </w:rPr>
        <w:br/>
        <w:t>• Served as the primary point of contact for office operations, greeting and directing visitors and managing multi-line phone systems to ensure efficient communication flow including intercom paging.</w:t>
        <w:br/>
      </w:r>
    </w:p>
    <w:p>
      <w:r>
        <w:rPr>
          <w:rFonts w:ascii="Times New Roman" w:hAnsi="Times New Roman"/>
          <w:sz w:val="20"/>
        </w:rPr>
        <w:br/>
        <w:t>• Maintained rigorous standards for record-keeping and data integrity, including the management of sensitive files and digital records, mirroring the precision required for patient record filing.</w:t>
        <w:br/>
      </w:r>
    </w:p>
    <w:p>
      <w:r>
        <w:rPr>
          <w:rFonts w:ascii="Times New Roman" w:hAnsi="Times New Roman"/>
          <w:sz w:val="20"/>
        </w:rPr>
        <w:br/>
        <w:t>• Provided mentorship and on-the-job training to new team members, assisting supervisors in onboarding and guiding staff through complex procedural and technical challenges.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