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(CTEs, window functions) to clean and reconcile financial data including GL entries and P&amp;L statements, improving data accuracy by 30%.</w:t>
        <w:br/>
      </w:r>
    </w:p>
    <w:p>
      <w:r>
        <w:rPr>
          <w:rFonts w:ascii="Times New Roman" w:hAnsi="Times New Roman"/>
          <w:sz w:val="20"/>
        </w:rPr>
        <w:br/>
        <w:t>• Developed automated reporting procedures to track and analyze monthly cash flow, budget variances, and accounts receivable, providing actionable insights for departmental leadership.</w:t>
        <w:br/>
      </w:r>
    </w:p>
    <w:p>
      <w:r>
        <w:rPr>
          <w:rFonts w:ascii="Times New Roman" w:hAnsi="Times New Roman"/>
          <w:sz w:val="20"/>
        </w:rPr>
        <w:br/>
        <w:t>• Conducted internal data audits to ensure integrity and consistency across proprietary databases, ensuring full compliance with internal financial control policies.</w:t>
        <w:br/>
      </w:r>
    </w:p>
    <w:p>
      <w:r>
        <w:rPr>
          <w:rFonts w:ascii="Times New Roman" w:hAnsi="Times New Roman"/>
          <w:sz w:val="20"/>
        </w:rPr>
        <w:br/>
        <w:t>• Streamlined financial reporting processes by implementing automated account coding and classification workflows, reducing manual entry errors and ensuring timely monthly and quarterly financial closings.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monitor and report on operational statistical variances, ensuring alignment with organizational financial targets and performance benchmarks.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