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SQL query performance for complex datasets, including financial performance and capital activity reporting, ensuring high data integrity for investment disclosures.</w:t>
        <w:br/>
      </w:r>
    </w:p>
    <w:p>
      <w:r>
        <w:rPr>
          <w:rFonts w:ascii="Times New Roman" w:hAnsi="Times New Roman"/>
          <w:sz w:val="20"/>
        </w:rPr>
        <w:br/>
        <w:t>• Drafted and maintained technical documentation and reporting narratives, effectively translating fund-level performance data into clear content for consultant databases and RFPs.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audit and reconcile private capital performance data, ensuring accuracy for investor-facing disclosures and organizational reporting.</w:t>
        <w:br/>
      </w:r>
    </w:p>
    <w:p>
      <w:r>
        <w:rPr>
          <w:rFonts w:ascii="Times New Roman" w:hAnsi="Times New Roman"/>
          <w:sz w:val="20"/>
        </w:rPr>
        <w:br/>
        <w:t>• Analyzed property-level performance and fund-level metrics using Python and Power BI to identify investment risks and support decision-making in financial reporting workflows.</w:t>
        <w:br/>
      </w:r>
    </w:p>
    <w:p>
      <w:r>
        <w:rPr>
          <w:rFonts w:ascii="Times New Roman" w:hAnsi="Times New Roman"/>
          <w:sz w:val="20"/>
        </w:rPr>
        <w:br/>
        <w:t>• Standardized data governance frameworks for institutional-grade reporting, ensuring all consultant-facing documentation aligns with firm-wide compliance and messaging requirements.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