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quality assurance (QA) standards and documentation protocols for automated ETL pipelines, ensuring 100% data integrity for stakeholder reporting.</w:t>
        <w:br/>
      </w:r>
    </w:p>
    <w:p>
      <w:r>
        <w:rPr>
          <w:rFonts w:ascii="Times New Roman" w:hAnsi="Times New Roman"/>
          <w:sz w:val="20"/>
        </w:rPr>
        <w:br/>
        <w:t>• Utilized R and RStudio to conduct advanced statistical analysis on customer segmentation datasets, driving targeted marketing initiatives and a 300% increase in acquisition.</w:t>
        <w:br/>
      </w:r>
    </w:p>
    <w:p>
      <w:r>
        <w:rPr>
          <w:rFonts w:ascii="Times New Roman" w:hAnsi="Times New Roman"/>
          <w:sz w:val="20"/>
        </w:rPr>
        <w:br/>
        <w:t>• Integrated S3 and Snowflake data environments to support large-scale analytics workflows, optimizing retrieval times and streamlining cross-functional data access.</w:t>
        <w:br/>
      </w:r>
    </w:p>
    <w:p>
      <w:r>
        <w:rPr>
          <w:rFonts w:ascii="Times New Roman" w:hAnsi="Times New Roman"/>
          <w:sz w:val="20"/>
        </w:rPr>
        <w:br/>
        <w:t>• Implemented automated data cleaning and validation scripts to maintain high QA standards, ensuring consistency and accuracy across all organizational reporting metrics.</w:t>
        <w:br/>
      </w:r>
    </w:p>
    <w:p>
      <w:r>
        <w:rPr>
          <w:rFonts w:ascii="Times New Roman" w:hAnsi="Times New Roman"/>
          <w:sz w:val="20"/>
        </w:rPr>
        <w:br/>
        <w:t>• Collaborated on documentation projects for technical workflows, utilizing Tableau Prep to standardize data preparation and improve reporting reliability for executive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