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Applied statistical methodology using Python and R to develop predictive models, including machine learning approaches, for identifying high-value customer segments and forecasting trends.</w:t>
        <w:br/>
      </w:r>
    </w:p>
    <w:p>
      <w:r>
        <w:rPr>
          <w:rFonts w:ascii="Times New Roman" w:hAnsi="Times New Roman"/>
          <w:sz w:val="20"/>
        </w:rPr>
        <w:br/>
        <w:t>• Managed data from heterogeneous sources, including API-based real-time feeds and longitudinal datasets, mirroring the complexities of electronic health records (EHR) and wearable sensor data.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deliver sophisticated analytical products, contributing findings and methodology insights for inclusion in formal reports and technical presentations.</w:t>
        <w:br/>
      </w:r>
    </w:p>
    <w:p>
      <w:r>
        <w:rPr>
          <w:rFonts w:ascii="Times New Roman" w:hAnsi="Times New Roman"/>
          <w:sz w:val="20"/>
        </w:rPr>
        <w:br/>
        <w:t>• Transferred analytical logic between Python and R environments to ensure robust data validation and reproducibility in research-oriented analytical projects.</w:t>
        <w:br/>
      </w:r>
    </w:p>
    <w:p>
      <w:r>
        <w:rPr>
          <w:rFonts w:ascii="Times New Roman" w:hAnsi="Times New Roman"/>
          <w:sz w:val="20"/>
        </w:rPr>
        <w:br/>
        <w:t>• Leveraged data science best practices to architect automated data pipelines, ensuring high-quality, research-ready datasets are available for ad-hoc and standing clinical requests.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