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diverse marketing data sources via APIs and custom connectors into Snowflake/BigQuery environments, facilitating identity resolution and unified customer profile management.</w:t>
        <w:br/>
      </w:r>
    </w:p>
    <w:p>
      <w:r>
        <w:rPr>
          <w:rFonts w:ascii="Times New Roman" w:hAnsi="Times New Roman"/>
          <w:sz w:val="20"/>
        </w:rPr>
        <w:br/>
        <w:t>• Engineered automated data pipelines that include alerting and notification strategies to monitor platform health and data integrity, ensuring proactive anomaly detection for stakeholders.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implement CDP-like data unification and audience segmentation frameworks, enabling hyper-personalized marketing and improved campaign ROI.</w:t>
        <w:br/>
      </w:r>
    </w:p>
    <w:p>
      <w:r>
        <w:rPr>
          <w:rFonts w:ascii="Times New Roman" w:hAnsi="Times New Roman"/>
          <w:sz w:val="20"/>
        </w:rPr>
        <w:br/>
        <w:t>• Acted as a technical advisor for enterprise-level stakeholders, translating complex marketing technology requirements into scalable data solutions and system integrations.</w:t>
        <w:br/>
      </w:r>
    </w:p>
    <w:p>
      <w:r>
        <w:rPr>
          <w:rFonts w:ascii="Times New Roman" w:hAnsi="Times New Roman"/>
          <w:sz w:val="20"/>
        </w:rPr>
        <w:br/>
        <w:t>• Applied AI-driven analytical methods and predictive modeling to inform retail marketing strategy, bridging the gap between raw technical data and business-ready AI intelligence.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