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implemented robust data models using ER modeling and dimensional modeling techniques (Star/Snowflake schemas) to transform raw loan portfolio data into highly scalable, analytics-ready structures.</w:t>
        <w:br/>
      </w:r>
    </w:p>
    <w:p>
      <w:r>
        <w:rPr>
          <w:rFonts w:ascii="Times New Roman" w:hAnsi="Times New Roman"/>
          <w:sz w:val="20"/>
        </w:rPr>
        <w:br/>
        <w:t>• Integrated data from diverse sources into PostgreSQL and Snowflake environments, ensuring strict data governance and high-quality metadata management through comprehensive data dictionary creation.</w:t>
        <w:br/>
      </w:r>
    </w:p>
    <w:p>
      <w:r>
        <w:rPr>
          <w:rFonts w:ascii="Times New Roman" w:hAnsi="Times New Roman"/>
          <w:sz w:val="20"/>
        </w:rPr>
        <w:br/>
        <w:t>• Utilized industry-standard modeling software (including familiarity with ER/Studio concepts) to visualize entity-relationship diagrams and document complex business logic across technical and functional teams.</w:t>
        <w:br/>
      </w:r>
    </w:p>
    <w:p>
      <w:r>
        <w:rPr>
          <w:rFonts w:ascii="Times New Roman" w:hAnsi="Times New Roman"/>
          <w:sz w:val="20"/>
        </w:rPr>
        <w:br/>
        <w:t>• Optimized data warehousing performance by applying query optimization strategies and refined indexing on SQL Server and PostgreSQL databases to support faster reporting and ETL reliability.</w:t>
        <w:br/>
      </w:r>
    </w:p>
    <w:p>
      <w:r>
        <w:rPr>
          <w:rFonts w:ascii="Times New Roman" w:hAnsi="Times New Roman"/>
          <w:sz w:val="20"/>
        </w:rPr>
        <w:br/>
        <w:t>• Architected end-to-end data pipelines while enforcing enterprise data governance standards to maintain consistency, accuracy, and lineage across all internal data products.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