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Integrated data from multiple sources including REST APIs and PostgreSQL databases to build unified schemas, streamlining data ingestion workflows for engineering teams.</w:t>
        <w:br/>
      </w:r>
    </w:p>
    <w:p>
      <w:r>
        <w:rPr>
          <w:rFonts w:ascii="Times New Roman" w:hAnsi="Times New Roman"/>
          <w:sz w:val="20"/>
        </w:rPr>
        <w:br/>
        <w:t>• Engineered Python-based ETL pipelines to automate data extraction from various sources, ensuring data quality through validation routines at ingestion boundaries.</w:t>
        <w:br/>
      </w:r>
    </w:p>
    <w:p>
      <w:r>
        <w:rPr>
          <w:rFonts w:ascii="Times New Roman" w:hAnsi="Times New Roman"/>
          <w:sz w:val="20"/>
        </w:rPr>
        <w:br/>
        <w:t>• Developed end-to-end data lineage documentation and mapping, tracking data flow from source systems through transformation layers to final Tableau reports for enhanced audit readiness.</w:t>
        <w:br/>
      </w:r>
    </w:p>
    <w:p>
      <w:r>
        <w:rPr>
          <w:rFonts w:ascii="Times New Roman" w:hAnsi="Times New Roman"/>
          <w:sz w:val="20"/>
        </w:rPr>
        <w:br/>
        <w:t>• Contributed to the design and implementation of a metadata-driven data catalog to organize data assets, improve discoverability, and define lineage for critical financial datasets.</w:t>
        <w:br/>
      </w:r>
    </w:p>
    <w:p>
      <w:r>
        <w:rPr>
          <w:rFonts w:ascii="Times New Roman" w:hAnsi="Times New Roman"/>
          <w:sz w:val="20"/>
        </w:rPr>
        <w:br/>
        <w:t>• Optimized PostgreSQL database performance through index tuning and query refactoring (CTEs, window functions), reducing data reconciliation time by 30%.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