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complex SQL queries using dimensional modeling and performance tuning techniques (CTEs, window functions) to improve data warehouse reporting latency by 60%.</w:t>
        <w:br/>
      </w:r>
    </w:p>
    <w:p>
      <w:r>
        <w:rPr>
          <w:rFonts w:ascii="Times New Roman" w:hAnsi="Times New Roman"/>
          <w:sz w:val="20"/>
        </w:rPr>
        <w:br/>
        <w:t>• Developed and managed automated ETL/ELT pipelines using Airflow and Fivetran, ensuring high-quality, reliable data delivery for cross-functional stakeholders.</w:t>
        <w:br/>
      </w:r>
    </w:p>
    <w:p>
      <w:r>
        <w:rPr>
          <w:rFonts w:ascii="Times New Roman" w:hAnsi="Times New Roman"/>
          <w:sz w:val="20"/>
        </w:rPr>
        <w:br/>
        <w:t>• Built and maintained Infrastructure as Code (IaC) templates for cloud resources, ensuring consistent and reproducible data platform deployments.</w:t>
        <w:br/>
      </w:r>
    </w:p>
    <w:p>
      <w:r>
        <w:rPr>
          <w:rFonts w:ascii="Times New Roman" w:hAnsi="Times New Roman"/>
          <w:sz w:val="20"/>
        </w:rPr>
        <w:br/>
        <w:t>• Engineered scalable data processing workflows using Python to handle large datasets, gaining exposure to distributed systems and big data architectural patterns.</w:t>
        <w:br/>
      </w:r>
    </w:p>
    <w:p>
      <w:r>
        <w:rPr>
          <w:rFonts w:ascii="Times New Roman" w:hAnsi="Times New Roman"/>
          <w:sz w:val="20"/>
        </w:rPr>
        <w:br/>
        <w:t>• Implemented automated data validation frameworks with Great Expectations to proactively monitor data quality, reducing technical debt and ensuring SLA compliance.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