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large-scale operational datasets using SQL and Advanced Excel to identify pricing discrepancies and market performance trends, supporting Trading team initiatives.</w:t>
        <w:br/>
      </w:r>
    </w:p>
    <w:p>
      <w:r>
        <w:rPr>
          <w:rFonts w:ascii="Times New Roman" w:hAnsi="Times New Roman"/>
          <w:sz w:val="20"/>
        </w:rPr>
        <w:br/>
        <w:t>• Collaborated with Customer Success teams to translate user behavior data into actionable insights, improving platform engagement and identifying opportunities for growth.</w:t>
        <w:br/>
      </w:r>
    </w:p>
    <w:p>
      <w:r>
        <w:rPr>
          <w:rFonts w:ascii="Times New Roman" w:hAnsi="Times New Roman"/>
          <w:sz w:val="20"/>
        </w:rPr>
        <w:br/>
        <w:t>• Managed administrative and compliance-focused projects, including documentation for internal policy editing and organization of financial data to assist in regulatory reporting.</w:t>
        <w:br/>
      </w:r>
    </w:p>
    <w:p>
      <w:r>
        <w:rPr>
          <w:rFonts w:ascii="Times New Roman" w:hAnsi="Times New Roman"/>
          <w:sz w:val="20"/>
        </w:rPr>
        <w:br/>
        <w:t>• Monitored platform health and conducted root-cause analysis on system bugs, ensuring seamless operations during high-traffic events, including nights and weekends.</w:t>
        <w:br/>
      </w:r>
    </w:p>
    <w:p>
      <w:r>
        <w:rPr>
          <w:rFonts w:ascii="Times New Roman" w:hAnsi="Times New Roman"/>
          <w:sz w:val="20"/>
        </w:rPr>
        <w:br/>
        <w:t>• Leveraged a data-driven approach to monitor user activity on prediction platforms, identifying patterns in engagement that helped optimize platform liability and user experience.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