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and maintained end-to-end ML models and data pipelines, performing rigorous model evaluation and statistical validation to drive business strategy.</w:t>
        <w:br/>
      </w:r>
    </w:p>
    <w:p>
      <w:r>
        <w:rPr>
          <w:rFonts w:ascii="Times New Roman" w:hAnsi="Times New Roman"/>
          <w:sz w:val="20"/>
        </w:rPr>
        <w:br/>
        <w:t>• Collaborated with cross-functional product teams to analyze consumer-facing digital products, leveraging advanced analytics to optimize member-facing tools and service workflows.</w:t>
        <w:br/>
      </w:r>
    </w:p>
    <w:p>
      <w:r>
        <w:rPr>
          <w:rFonts w:ascii="Times New Roman" w:hAnsi="Times New Roman"/>
          <w:sz w:val="20"/>
        </w:rPr>
        <w:br/>
        <w:t>• Applied statistical modeling and segmentation techniques to deep-dive into member behavior, identifying key drivers of engagement to inform long-term product roadmaps.</w:t>
        <w:br/>
      </w:r>
    </w:p>
    <w:p>
      <w:r>
        <w:rPr>
          <w:rFonts w:ascii="Times New Roman" w:hAnsi="Times New Roman"/>
          <w:sz w:val="20"/>
        </w:rPr>
        <w:br/>
        <w:t>• Developed prototype LLM frameworks and automated support solutions, ensuring compliance with strict data privacy and industry-standard regulatory requirements.</w:t>
        <w:br/>
      </w:r>
    </w:p>
    <w:p>
      <w:r>
        <w:rPr>
          <w:rFonts w:ascii="Times New Roman" w:hAnsi="Times New Roman"/>
          <w:sz w:val="20"/>
        </w:rPr>
        <w:br/>
        <w:t>• Mentored junior analysts and cross-functional partners on data best practices, fostering a data-driven culture and contributing to the strategic direction of operational initiatives.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