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Led and mentored a cross-functional squad of junior analysts on data-driven projects, implementing A/B testing frameworks to validate marketing campaign effectiveness and improve customer retention.</w:t>
        <w:br/>
      </w:r>
    </w:p>
    <w:p>
      <w:r>
        <w:rPr>
          <w:rFonts w:ascii="Times New Roman" w:hAnsi="Times New Roman"/>
          <w:sz w:val="20"/>
        </w:rPr>
        <w:br/>
        <w:t>• Architected and deployed end-to-end machine learning models in production to forecast customer churn, integrating results directly into operational dashboards to inform proactive retention strategies.</w:t>
        <w:br/>
      </w:r>
    </w:p>
    <w:p>
      <w:r>
        <w:rPr>
          <w:rFonts w:ascii="Times New Roman" w:hAnsi="Times New Roman"/>
          <w:sz w:val="20"/>
        </w:rPr>
        <w:br/>
        <w:t>• Applied advanced statistical modeling and machine learning techniques to patient-level data, identifying health-risk patterns that align with value-based care objectives in the insurance sector.</w:t>
        <w:br/>
      </w:r>
    </w:p>
    <w:p>
      <w:r>
        <w:rPr>
          <w:rFonts w:ascii="Times New Roman" w:hAnsi="Times New Roman"/>
          <w:sz w:val="20"/>
        </w:rPr>
        <w:br/>
        <w:t>• Directed team workflows and sprint planning for a cross-functional data team, managing stakeholder expectations and facilitating technical project delivery for high-impact business initiatives.</w:t>
        <w:br/>
      </w:r>
    </w:p>
    <w:p>
      <w:r>
        <w:rPr>
          <w:rFonts w:ascii="Times New Roman" w:hAnsi="Times New Roman"/>
          <w:sz w:val="20"/>
        </w:rPr>
        <w:br/>
        <w:t>• Leveraged domain knowledge in the insurance industry to perform complex risk analysis, ensuring that all statistical methodologies and data pipelines remain in full compliance with health insurance regulations.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