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Standardized organizational KPIs and data governance frameworks to ensure cross-functional alignment, resulting in a consistent "single source of truth" for all business stakeholders and a reduction in report discrepancies, demonstrating a strong understanding of data governance and data stewardship principles.</w:t>
        <w:br/>
      </w:r>
    </w:p>
    <w:p>
      <w:r>
        <w:rPr>
          <w:rFonts w:ascii="Times New Roman" w:hAnsi="Times New Roman"/>
          <w:sz w:val="20"/>
        </w:rPr>
        <w:br/>
        <w:t>• Automated data quality validation with Great Expectations to ensure pipeline reliability, deploying the final solution via a GitHub Actions CI/CD pipeline, showcasing experience with data quality, data validation, and CI/CD practices.</w:t>
        <w:br/>
      </w:r>
    </w:p>
    <w:p>
      <w:r>
        <w:rPr>
          <w:rFonts w:ascii="Times New Roman" w:hAnsi="Times New Roman"/>
          <w:sz w:val="20"/>
        </w:rPr>
        <w:br/>
        <w:t>• Developed statistical models to identify high-value customer segments; targeted marketing initiatives informed by these models contributed to a 300% increase in revenue in the targeted segment over 12 months, aligning with the need to translate data into actionable insights for marketing.</w:t>
        <w:br/>
      </w:r>
    </w:p>
    <w:p>
      <w:r>
        <w:rPr>
          <w:rFonts w:ascii="Times New Roman" w:hAnsi="Times New Roman"/>
          <w:sz w:val="20"/>
        </w:rPr>
        <w:br/>
        <w:t>• Designed and executed A/B tests for digital marketing campaigns to measure audience response and lift, providing the statistical evidence needed to optimize marketing spend, directly addressing the requirement for advanced analytical techniques and data-driven decision making.</w:t>
        <w:br/>
      </w:r>
    </w:p>
    <w:p>
      <w:r>
        <w:rPr>
          <w:rFonts w:ascii="Times New Roman" w:hAnsi="Times New Roman"/>
          <w:sz w:val="20"/>
        </w:rPr>
        <w:br/>
        <w:t>• Collaborated with product managers on a 14-person team to align features with business objectives, streamlining the software development workflow and reducing delivery delays by 25%, highlighting stakeholder collaboration and contributing to a strategic thinking approach.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