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robust ETL pipelines in Python and SQL, performing complex schema design, indexing strategies, and query performance tuning to optimize data retrieval speeds.</w:t>
        <w:br/>
      </w:r>
    </w:p>
    <w:p>
      <w:r>
        <w:rPr>
          <w:rFonts w:ascii="Times New Roman" w:hAnsi="Times New Roman"/>
          <w:sz w:val="20"/>
        </w:rPr>
        <w:br/>
        <w:t>• Managed production-grade data infrastructure, including incident monitoring and serving on on-call rotations to troubleshoot and resolve data quality or pipeline latency issues.</w:t>
        <w:br/>
      </w:r>
    </w:p>
    <w:p>
      <w:r>
        <w:rPr>
          <w:rFonts w:ascii="Times New Roman" w:hAnsi="Times New Roman"/>
          <w:sz w:val="20"/>
        </w:rPr>
        <w:br/>
        <w:t>• Extracted and integrated data from diverse sources into cloud environments (AWS/GCP), utilizing SQL Server and PostgreSQL stored procedures to automate complex data transformations.</w:t>
        <w:br/>
      </w:r>
    </w:p>
    <w:p>
      <w:r>
        <w:rPr>
          <w:rFonts w:ascii="Times New Roman" w:hAnsi="Times New Roman"/>
          <w:sz w:val="20"/>
        </w:rPr>
        <w:br/>
        <w:t>• Leveraged AWS ecosystem services, including S3 for data lake storage and Athena for ad-hoc querying, to support scalable, high-performing data solutions.</w:t>
        <w:br/>
      </w:r>
    </w:p>
    <w:p>
      <w:r>
        <w:rPr>
          <w:rFonts w:ascii="Times New Roman" w:hAnsi="Times New Roman"/>
          <w:sz w:val="20"/>
        </w:rPr>
        <w:br/>
        <w:t>• Collaborated with cross-functional technical teams to translate business requirements into highly efficient, scalable data models in columnar database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