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with C-suite executives and cross-functional leadership to present data-driven insights, translating complex performance metrics into actionable strategy recommendations.</w:t>
        <w:br/>
      </w:r>
    </w:p>
    <w:p>
      <w:r>
        <w:rPr>
          <w:rFonts w:ascii="Times New Roman" w:hAnsi="Times New Roman"/>
          <w:sz w:val="20"/>
        </w:rPr>
        <w:br/>
        <w:t>• Partnered with product teams to embed data-driven feedback loops into operational workflows, ensuring software features directly aligned with evolving user requirements and technical needs.</w:t>
        <w:br/>
      </w:r>
    </w:p>
    <w:p>
      <w:r>
        <w:rPr>
          <w:rFonts w:ascii="Times New Roman" w:hAnsi="Times New Roman"/>
          <w:sz w:val="20"/>
        </w:rPr>
        <w:br/>
        <w:t>• Demonstrated high adaptability by engaging in onsite deployments and traveling as required to bridge the gap between technical data engineering and end-user operational problem-solving.</w:t>
        <w:br/>
      </w:r>
    </w:p>
    <w:p>
      <w:r>
        <w:rPr>
          <w:rFonts w:ascii="Times New Roman" w:hAnsi="Times New Roman"/>
          <w:sz w:val="20"/>
        </w:rPr>
        <w:br/>
        <w:t>• Utilized advanced statistical packages, including R and Python libraries, to perform deep-dive analysis on complex datasets and drive evidence-based decision-making.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