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 to ensure cross-functional alignment, resulting in a consistent "single source of truth" for all business stakeholders and a reduction in report discrepancies, demonstrating expertise in implementing and maintaining data governance frameworks and quality standards.</w:t>
        <w:br/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40%, directly leveraging deep understanding of dashboarding and reporting tools to improve and automate processes.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eliminating repetitive data entry, saving 8 hours per week, and improving reporting accuracy for faster strategic decisions, aligning with your need for automation of reporting workflows.</w:t>
        <w:br/>
      </w:r>
    </w:p>
    <w:p>
      <w:r>
        <w:rPr>
          <w:rFonts w:ascii="Times New Roman" w:hAnsi="Times New Roman"/>
          <w:sz w:val="20"/>
        </w:rPr>
        <w:br/>
        <w:t>• Acted as a liaison between business leadership, operations teams, and other key partners to translate complex technical findings into business recommendations during stakeholder meetings, fostering cross-functional collaboration and alignment.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 and informing strategic decisions, aligning with your emphasis on data-driven decision-making.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